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75" w:rsidRPr="00655375" w:rsidRDefault="00655375" w:rsidP="00655375">
      <w:pPr>
        <w:pStyle w:val="Titel"/>
        <w:spacing w:line="276" w:lineRule="auto"/>
        <w:jc w:val="center"/>
        <w:rPr>
          <w:rFonts w:ascii="Arial" w:hAnsi="Arial" w:cs="Arial"/>
          <w:b/>
          <w:sz w:val="44"/>
          <w:szCs w:val="44"/>
          <w:lang w:val="en-US"/>
        </w:rPr>
      </w:pPr>
      <w:bookmarkStart w:id="0" w:name="_GoBack"/>
      <w:bookmarkEnd w:id="0"/>
      <w:r w:rsidRPr="00655375">
        <w:rPr>
          <w:rFonts w:ascii="Arial" w:hAnsi="Arial" w:cs="Arial"/>
          <w:b/>
          <w:sz w:val="44"/>
          <w:szCs w:val="44"/>
          <w:lang w:val="en-US"/>
        </w:rPr>
        <w:t>DIHK-Consultation on EU-MERCOSUR FTA-negotiations</w:t>
      </w:r>
    </w:p>
    <w:p w:rsidR="001169C4" w:rsidRPr="00655375" w:rsidRDefault="001169C4" w:rsidP="001169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lang w:val="en-US"/>
        </w:rPr>
      </w:pPr>
    </w:p>
    <w:p w:rsidR="001169C4" w:rsidRPr="00D212AF" w:rsidRDefault="00E76424" w:rsidP="0065537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14</w:t>
      </w:r>
      <w:r w:rsidR="00655375">
        <w:rPr>
          <w:rFonts w:ascii="Arial" w:hAnsi="Arial" w:cs="Arial"/>
          <w:b/>
          <w:color w:val="000000"/>
          <w:lang w:val="en-GB"/>
        </w:rPr>
        <w:t>.0</w:t>
      </w:r>
      <w:r>
        <w:rPr>
          <w:rFonts w:ascii="Arial" w:hAnsi="Arial" w:cs="Arial"/>
          <w:b/>
          <w:color w:val="000000"/>
          <w:lang w:val="en-GB"/>
        </w:rPr>
        <w:t>9</w:t>
      </w:r>
      <w:r w:rsidR="00655375">
        <w:rPr>
          <w:rFonts w:ascii="Arial" w:hAnsi="Arial" w:cs="Arial"/>
          <w:b/>
          <w:color w:val="000000"/>
          <w:lang w:val="en-GB"/>
        </w:rPr>
        <w:t>.2016</w:t>
      </w:r>
    </w:p>
    <w:p w:rsidR="001169C4" w:rsidRPr="00D212AF" w:rsidRDefault="001169C4" w:rsidP="001169C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GB"/>
        </w:rPr>
      </w:pPr>
    </w:p>
    <w:p w:rsidR="001169C4" w:rsidRDefault="001169C4" w:rsidP="001169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How important are Mercosur markets for your sector as regards export potential, value chains and investment?</w:t>
      </w:r>
    </w:p>
    <w:p w:rsidR="001169C4" w:rsidRDefault="001169C4" w:rsidP="001169C4">
      <w:pPr>
        <w:pStyle w:val="Listenabsatz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</w:p>
    <w:p w:rsidR="001169C4" w:rsidRDefault="001169C4" w:rsidP="001169C4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r w:rsidRPr="006A5964">
        <w:rPr>
          <w:rFonts w:ascii="Arial" w:hAnsi="Arial" w:cs="Arial"/>
          <w:color w:val="000000"/>
          <w:lang w:val="en-US"/>
        </w:rPr>
        <w:t>Please name the most important barriers in terms o</w:t>
      </w:r>
      <w:r>
        <w:rPr>
          <w:rFonts w:ascii="Arial" w:hAnsi="Arial" w:cs="Arial"/>
          <w:color w:val="000000"/>
          <w:lang w:val="en-US"/>
        </w:rPr>
        <w:t>f market access and competition.</w:t>
      </w:r>
      <w:r w:rsidRPr="006A5964">
        <w:rPr>
          <w:rFonts w:ascii="Arial" w:hAnsi="Arial" w:cs="Arial"/>
          <w:color w:val="000000"/>
          <w:lang w:val="en-US"/>
        </w:rPr>
        <w:t xml:space="preserve"> </w:t>
      </w:r>
    </w:p>
    <w:p w:rsidR="001169C4" w:rsidRPr="006A5964" w:rsidRDefault="001169C4" w:rsidP="001169C4">
      <w:pPr>
        <w:pStyle w:val="Listenabsatz"/>
        <w:rPr>
          <w:rFonts w:ascii="Arial" w:hAnsi="Arial" w:cs="Arial"/>
          <w:color w:val="000000"/>
          <w:lang w:val="en-GB"/>
        </w:rPr>
      </w:pPr>
    </w:p>
    <w:p w:rsidR="001169C4" w:rsidRPr="006A5964" w:rsidRDefault="001169C4" w:rsidP="001169C4">
      <w:pPr>
        <w:pStyle w:val="Listenabsatz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GB"/>
        </w:rPr>
      </w:pPr>
    </w:p>
    <w:p w:rsidR="001169C4" w:rsidRDefault="001169C4" w:rsidP="001169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 xml:space="preserve">Which </w:t>
      </w:r>
      <w:r>
        <w:rPr>
          <w:rFonts w:ascii="Arial" w:hAnsi="Arial" w:cs="Arial"/>
          <w:color w:val="000000"/>
          <w:lang w:val="en-US"/>
        </w:rPr>
        <w:t xml:space="preserve">obstacles </w:t>
      </w:r>
      <w:r w:rsidRPr="0015366E">
        <w:rPr>
          <w:rFonts w:ascii="Arial" w:hAnsi="Arial" w:cs="Arial"/>
          <w:color w:val="000000"/>
          <w:lang w:val="en-US"/>
        </w:rPr>
        <w:t>does your sector face in the Mercosur countries</w:t>
      </w:r>
      <w:r>
        <w:rPr>
          <w:rFonts w:ascii="Arial" w:hAnsi="Arial" w:cs="Arial"/>
          <w:color w:val="000000"/>
          <w:lang w:val="en-US"/>
        </w:rPr>
        <w:t xml:space="preserve"> (e.g. high tariffs, burdensome customs procedures, technical and sanitary requirements, discriminatory conditions of competition, prohibitions)</w:t>
      </w:r>
      <w:r w:rsidRPr="0015366E">
        <w:rPr>
          <w:rFonts w:ascii="Arial" w:hAnsi="Arial" w:cs="Arial"/>
          <w:color w:val="000000"/>
          <w:lang w:val="en-US"/>
        </w:rPr>
        <w:t xml:space="preserve">? Please rate them in order of importance </w:t>
      </w:r>
      <w:r>
        <w:rPr>
          <w:rFonts w:ascii="Arial" w:hAnsi="Arial" w:cs="Arial"/>
          <w:color w:val="000000"/>
          <w:lang w:val="en-US"/>
        </w:rPr>
        <w:t xml:space="preserve">(1-10) </w:t>
      </w:r>
      <w:r w:rsidRPr="0015366E">
        <w:rPr>
          <w:rFonts w:ascii="Arial" w:hAnsi="Arial" w:cs="Arial"/>
          <w:color w:val="000000"/>
          <w:lang w:val="en-US"/>
        </w:rPr>
        <w:t xml:space="preserve">and specify the likely effect of their elimination. </w:t>
      </w:r>
    </w:p>
    <w:p w:rsidR="001169C4" w:rsidRPr="0015366E" w:rsidRDefault="001169C4" w:rsidP="001169C4">
      <w:pPr>
        <w:pStyle w:val="Listenabsatz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</w:p>
    <w:p w:rsidR="001169C4" w:rsidRPr="006E362A" w:rsidRDefault="001169C4" w:rsidP="00E7642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Which kind of problems do</w:t>
      </w:r>
      <w:r w:rsidRPr="00515994">
        <w:rPr>
          <w:rFonts w:ascii="Arial" w:hAnsi="Arial" w:cs="Arial"/>
          <w:color w:val="000000"/>
          <w:lang w:val="en-US"/>
        </w:rPr>
        <w:t xml:space="preserve"> you face as regards </w:t>
      </w:r>
      <w:r w:rsidR="00E76424" w:rsidRPr="00E76424">
        <w:rPr>
          <w:rFonts w:ascii="Arial" w:hAnsi="Arial" w:cs="Arial"/>
          <w:color w:val="000000"/>
          <w:lang w:val="en-US"/>
        </w:rPr>
        <w:t>Sanitary and Phytosanitary</w:t>
      </w:r>
      <w:r w:rsidR="00E76424">
        <w:rPr>
          <w:rFonts w:ascii="Arial" w:hAnsi="Arial" w:cs="Arial"/>
          <w:color w:val="000000"/>
          <w:lang w:val="en-US"/>
        </w:rPr>
        <w:t xml:space="preserve"> </w:t>
      </w:r>
      <w:r w:rsidRPr="00515994">
        <w:rPr>
          <w:rFonts w:ascii="Arial" w:hAnsi="Arial" w:cs="Arial"/>
          <w:color w:val="000000"/>
          <w:lang w:val="en-US"/>
        </w:rPr>
        <w:t>issues</w:t>
      </w:r>
      <w:r>
        <w:rPr>
          <w:rFonts w:ascii="Arial" w:hAnsi="Arial" w:cs="Arial"/>
          <w:color w:val="000000"/>
          <w:lang w:val="en-US"/>
        </w:rPr>
        <w:t>?</w:t>
      </w:r>
    </w:p>
    <w:p w:rsidR="001169C4" w:rsidRDefault="001169C4" w:rsidP="001169C4">
      <w:pPr>
        <w:pStyle w:val="Listenabsatz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lang w:val="en-US"/>
        </w:rPr>
      </w:pPr>
    </w:p>
    <w:p w:rsidR="001169C4" w:rsidRDefault="001169C4" w:rsidP="001169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lang w:val="en-US"/>
        </w:rPr>
      </w:pPr>
      <w:r w:rsidRPr="00515994">
        <w:rPr>
          <w:rFonts w:ascii="Arial" w:hAnsi="Arial" w:cs="Arial"/>
          <w:color w:val="000000"/>
          <w:lang w:val="en-US"/>
        </w:rPr>
        <w:t>Which</w:t>
      </w:r>
      <w:r>
        <w:rPr>
          <w:rFonts w:ascii="Arial" w:hAnsi="Arial" w:cs="Arial"/>
          <w:color w:val="000000"/>
          <w:lang w:val="en-US"/>
        </w:rPr>
        <w:t xml:space="preserve"> kind of problems do you face in terms of </w:t>
      </w:r>
      <w:r w:rsidRPr="00515994">
        <w:rPr>
          <w:rFonts w:ascii="Arial" w:hAnsi="Arial" w:cs="Arial"/>
          <w:color w:val="000000"/>
          <w:lang w:val="en-US"/>
        </w:rPr>
        <w:t>technical regulations, standards and conformity assessment</w:t>
      </w:r>
      <w:r>
        <w:rPr>
          <w:rFonts w:ascii="Arial" w:hAnsi="Arial" w:cs="Arial"/>
          <w:color w:val="000000"/>
          <w:lang w:val="en-US"/>
        </w:rPr>
        <w:t xml:space="preserve">? Which solutions </w:t>
      </w:r>
      <w:r w:rsidRPr="00515994">
        <w:rPr>
          <w:rFonts w:ascii="Arial" w:hAnsi="Arial" w:cs="Arial"/>
          <w:color w:val="000000"/>
          <w:lang w:val="en-US"/>
        </w:rPr>
        <w:t>would facilitate trade</w:t>
      </w:r>
      <w:r>
        <w:rPr>
          <w:rFonts w:ascii="Arial" w:hAnsi="Arial" w:cs="Arial"/>
          <w:color w:val="000000"/>
          <w:lang w:val="en-US"/>
        </w:rPr>
        <w:t xml:space="preserve"> for your business</w:t>
      </w:r>
      <w:r w:rsidRPr="00515994">
        <w:rPr>
          <w:rFonts w:ascii="Arial" w:hAnsi="Arial" w:cs="Arial"/>
          <w:color w:val="000000"/>
          <w:lang w:val="en-US"/>
        </w:rPr>
        <w:t>?</w:t>
      </w:r>
    </w:p>
    <w:p w:rsidR="001169C4" w:rsidRPr="006A5964" w:rsidRDefault="001169C4" w:rsidP="001169C4">
      <w:pPr>
        <w:pStyle w:val="Listenabsatz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lang w:val="en-US"/>
        </w:rPr>
      </w:pPr>
    </w:p>
    <w:p w:rsidR="001169C4" w:rsidRDefault="001169C4" w:rsidP="001169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lang w:val="en-US"/>
        </w:rPr>
      </w:pPr>
      <w:r w:rsidRPr="006A5964">
        <w:rPr>
          <w:rFonts w:ascii="Arial" w:hAnsi="Arial" w:cs="Arial"/>
          <w:color w:val="000000"/>
          <w:lang w:val="en-US"/>
        </w:rPr>
        <w:t>How do</w:t>
      </w:r>
      <w:r w:rsidRPr="006E362A">
        <w:rPr>
          <w:rFonts w:ascii="Arial" w:hAnsi="Arial" w:cs="Arial"/>
          <w:color w:val="000000"/>
          <w:lang w:val="en-US"/>
        </w:rPr>
        <w:t xml:space="preserve"> diverging customs procedures and regulations in different Mercosur countries </w:t>
      </w:r>
      <w:r w:rsidRPr="006A5964">
        <w:rPr>
          <w:rFonts w:ascii="Arial" w:hAnsi="Arial" w:cs="Arial"/>
          <w:color w:val="000000"/>
          <w:lang w:val="en-US"/>
        </w:rPr>
        <w:t>affect your business?</w:t>
      </w:r>
    </w:p>
    <w:p w:rsidR="001169C4" w:rsidRPr="009B5B26" w:rsidRDefault="001169C4" w:rsidP="001169C4">
      <w:pPr>
        <w:pStyle w:val="Listenabsatz"/>
        <w:rPr>
          <w:rFonts w:ascii="Arial" w:hAnsi="Arial" w:cs="Arial"/>
          <w:color w:val="000000"/>
          <w:lang w:val="en-US"/>
        </w:rPr>
      </w:pPr>
    </w:p>
    <w:p w:rsidR="001169C4" w:rsidRPr="009B5B26" w:rsidRDefault="001169C4" w:rsidP="001169C4">
      <w:pPr>
        <w:pStyle w:val="Listenabsatz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lang w:val="en-US"/>
        </w:rPr>
      </w:pPr>
    </w:p>
    <w:p w:rsidR="001169C4" w:rsidRPr="00515994" w:rsidRDefault="001169C4" w:rsidP="001169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Which</w:t>
      </w:r>
      <w:r w:rsidRPr="00515994">
        <w:rPr>
          <w:rFonts w:ascii="Arial" w:hAnsi="Arial" w:cs="Arial"/>
          <w:color w:val="000000"/>
          <w:lang w:val="en-US"/>
        </w:rPr>
        <w:t xml:space="preserve"> preferential</w:t>
      </w:r>
      <w:r w:rsidRPr="006A5964">
        <w:rPr>
          <w:rFonts w:ascii="Arial" w:hAnsi="Arial" w:cs="Arial"/>
          <w:color w:val="000000"/>
          <w:lang w:val="en-US"/>
        </w:rPr>
        <w:t xml:space="preserve"> rules of origin</w:t>
      </w:r>
      <w:r w:rsidRPr="00515994">
        <w:rPr>
          <w:rFonts w:ascii="Arial" w:hAnsi="Arial" w:cs="Arial"/>
          <w:color w:val="000000"/>
          <w:lang w:val="en-US"/>
        </w:rPr>
        <w:t xml:space="preserve">, level of </w:t>
      </w:r>
      <w:proofErr w:type="spellStart"/>
      <w:r w:rsidRPr="00515994">
        <w:rPr>
          <w:rFonts w:ascii="Arial" w:hAnsi="Arial" w:cs="Arial"/>
          <w:color w:val="000000"/>
          <w:lang w:val="en-US"/>
        </w:rPr>
        <w:t>cumulation</w:t>
      </w:r>
      <w:proofErr w:type="spellEnd"/>
      <w:r w:rsidRPr="00515994">
        <w:rPr>
          <w:rFonts w:ascii="Arial" w:hAnsi="Arial" w:cs="Arial"/>
          <w:color w:val="000000"/>
          <w:lang w:val="en-US"/>
        </w:rPr>
        <w:t xml:space="preserve"> and maximum level of non-originating materials would you prefer?</w:t>
      </w:r>
    </w:p>
    <w:p w:rsidR="001169C4" w:rsidRPr="0015366E" w:rsidRDefault="001169C4" w:rsidP="001169C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</w:p>
    <w:p w:rsidR="001169C4" w:rsidRPr="0015366E" w:rsidRDefault="001169C4" w:rsidP="001169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 xml:space="preserve">Which issues are a priority for </w:t>
      </w:r>
      <w:r w:rsidRPr="00515994">
        <w:rPr>
          <w:rFonts w:ascii="Arial" w:hAnsi="Arial" w:cs="Arial"/>
          <w:bCs/>
          <w:color w:val="000000"/>
          <w:lang w:val="en-US"/>
        </w:rPr>
        <w:t>SMEs</w:t>
      </w:r>
      <w:r w:rsidRPr="0015366E">
        <w:rPr>
          <w:rFonts w:ascii="Arial" w:hAnsi="Arial" w:cs="Arial"/>
          <w:color w:val="000000"/>
          <w:lang w:val="en-US"/>
        </w:rPr>
        <w:t xml:space="preserve"> so that small companies can fully benefit from a possible trade agreement with Mercosur?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15366E">
        <w:rPr>
          <w:rFonts w:ascii="Arial" w:hAnsi="Arial" w:cs="Arial"/>
          <w:color w:val="000000"/>
          <w:lang w:val="en-US"/>
        </w:rPr>
        <w:t>What are main barriers for SMEs?</w:t>
      </w:r>
    </w:p>
    <w:p w:rsidR="001169C4" w:rsidRPr="0015366E" w:rsidRDefault="001169C4" w:rsidP="001169C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</w:p>
    <w:p w:rsidR="001169C4" w:rsidRDefault="001169C4" w:rsidP="001169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How would you describe access by EU companies, notably SMEs, to the necessary information on the conditions to access Mercosur markets?</w:t>
      </w:r>
      <w:r w:rsidRPr="0015366E">
        <w:rPr>
          <w:rFonts w:ascii="Arial" w:hAnsi="Arial" w:cs="Arial"/>
          <w:color w:val="000000"/>
          <w:lang w:val="en-US"/>
        </w:rPr>
        <w:t xml:space="preserve"> </w:t>
      </w:r>
    </w:p>
    <w:p w:rsidR="001169C4" w:rsidRDefault="001169C4" w:rsidP="001169C4">
      <w:pPr>
        <w:pStyle w:val="Listenabsatz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</w:p>
    <w:p w:rsidR="001169C4" w:rsidRPr="0015366E" w:rsidRDefault="001169C4" w:rsidP="001169C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</w:p>
    <w:p w:rsidR="001169C4" w:rsidRPr="0015366E" w:rsidRDefault="001169C4" w:rsidP="001169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Do you face the following customs problems, if yes, how important are they? (1</w:t>
      </w:r>
      <w:r>
        <w:rPr>
          <w:rFonts w:ascii="Arial" w:hAnsi="Arial" w:cs="Arial"/>
          <w:color w:val="000000"/>
          <w:lang w:val="en-US"/>
        </w:rPr>
        <w:t xml:space="preserve"> to </w:t>
      </w:r>
      <w:r w:rsidRPr="0015366E">
        <w:rPr>
          <w:rFonts w:ascii="Arial" w:hAnsi="Arial" w:cs="Arial"/>
          <w:color w:val="000000"/>
          <w:lang w:val="en-US"/>
        </w:rPr>
        <w:t>10)</w:t>
      </w:r>
    </w:p>
    <w:p w:rsidR="001169C4" w:rsidRPr="0015366E" w:rsidRDefault="001169C4" w:rsidP="001169C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inspections and controls during clearance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pre-shipment inspections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release times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 xml:space="preserve">fees and charges 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confidentiality of data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data requirements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 xml:space="preserve">documentation requirements 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compulsory use of customs brokers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transparency/publication of and access to trade regulations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lastRenderedPageBreak/>
        <w:t>discriminatory treatment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lack of uniformity in application of procedures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complexity in application of procedures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customs valuation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tariff classification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relations with/access to the customs authorities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co-ordination between different border agencies</w:t>
      </w:r>
      <w:r w:rsidRPr="0015366E">
        <w:rPr>
          <w:rFonts w:ascii="Arial" w:hAnsi="Arial" w:cs="Arial"/>
          <w:color w:val="000000"/>
          <w:lang w:val="en-US"/>
        </w:rPr>
        <w:tab/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use or non-use of information technology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application or non-application of relevant international standards</w:t>
      </w:r>
      <w:r w:rsidRPr="0015366E">
        <w:rPr>
          <w:rFonts w:ascii="Arial" w:hAnsi="Arial" w:cs="Arial"/>
          <w:color w:val="000000"/>
          <w:lang w:val="en-US"/>
        </w:rPr>
        <w:tab/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procedures for legal recourse/appeal</w:t>
      </w:r>
    </w:p>
    <w:p w:rsidR="001169C4" w:rsidRPr="0015366E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transshipment</w:t>
      </w:r>
    </w:p>
    <w:p w:rsidR="001169C4" w:rsidRDefault="001169C4" w:rsidP="001169C4">
      <w:pPr>
        <w:pStyle w:val="Listenabsatz"/>
        <w:numPr>
          <w:ilvl w:val="1"/>
          <w:numId w:val="1"/>
        </w:numPr>
        <w:tabs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5366E">
        <w:rPr>
          <w:rFonts w:ascii="Arial" w:hAnsi="Arial" w:cs="Arial"/>
          <w:color w:val="000000"/>
          <w:lang w:val="en-US"/>
        </w:rPr>
        <w:t>reference pricing</w:t>
      </w:r>
    </w:p>
    <w:p w:rsidR="001169C4" w:rsidRPr="0097082E" w:rsidRDefault="001169C4" w:rsidP="001169C4">
      <w:pPr>
        <w:pStyle w:val="Listenabsatz"/>
        <w:tabs>
          <w:tab w:val="left" w:pos="5760"/>
        </w:tabs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lang w:val="en-US"/>
        </w:rPr>
      </w:pPr>
    </w:p>
    <w:p w:rsidR="001169C4" w:rsidRDefault="001169C4" w:rsidP="001169C4">
      <w:pPr>
        <w:pStyle w:val="Listenabsatz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lang w:val="en-US"/>
        </w:rPr>
      </w:pPr>
    </w:p>
    <w:p w:rsidR="001169C4" w:rsidRPr="00515994" w:rsidRDefault="001169C4" w:rsidP="001169C4">
      <w:pPr>
        <w:pStyle w:val="Listenabsatz"/>
        <w:rPr>
          <w:rFonts w:ascii="Arial" w:hAnsi="Arial" w:cs="Arial"/>
          <w:color w:val="000000"/>
          <w:lang w:val="en-US"/>
        </w:rPr>
      </w:pPr>
    </w:p>
    <w:p w:rsidR="001169C4" w:rsidRDefault="001169C4" w:rsidP="001169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</w:t>
      </w:r>
      <w:r w:rsidRPr="00515994">
        <w:rPr>
          <w:rFonts w:ascii="Arial" w:hAnsi="Arial" w:cs="Arial"/>
          <w:color w:val="000000"/>
          <w:lang w:val="en-US"/>
        </w:rPr>
        <w:t>hich regulatory measure/s of Trade in Services do you consider barriers hindering your</w:t>
      </w:r>
      <w:r>
        <w:rPr>
          <w:rFonts w:ascii="Arial" w:hAnsi="Arial" w:cs="Arial"/>
          <w:color w:val="000000"/>
          <w:lang w:val="en-US"/>
        </w:rPr>
        <w:t xml:space="preserve"> trade and</w:t>
      </w:r>
      <w:r w:rsidRPr="00515994">
        <w:rPr>
          <w:rFonts w:ascii="Arial" w:hAnsi="Arial" w:cs="Arial"/>
          <w:color w:val="000000"/>
          <w:lang w:val="en-US"/>
        </w:rPr>
        <w:t xml:space="preserve"> investment plans?</w:t>
      </w:r>
    </w:p>
    <w:p w:rsidR="001169C4" w:rsidRPr="00515994" w:rsidRDefault="001169C4" w:rsidP="001169C4">
      <w:pPr>
        <w:pStyle w:val="Listenabsatz"/>
        <w:rPr>
          <w:rFonts w:ascii="Arial" w:hAnsi="Arial" w:cs="Arial"/>
          <w:color w:val="000000"/>
          <w:lang w:val="en-US"/>
        </w:rPr>
      </w:pPr>
    </w:p>
    <w:p w:rsidR="001169C4" w:rsidRPr="00515994" w:rsidRDefault="001169C4" w:rsidP="001169C4">
      <w:pPr>
        <w:pStyle w:val="Listenabsatz"/>
        <w:rPr>
          <w:rFonts w:ascii="Arial" w:hAnsi="Arial" w:cs="Arial"/>
          <w:color w:val="000000"/>
          <w:lang w:val="en-US"/>
        </w:rPr>
      </w:pPr>
    </w:p>
    <w:p w:rsidR="001169C4" w:rsidRDefault="001169C4" w:rsidP="001169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lang w:val="en-US"/>
        </w:rPr>
      </w:pPr>
      <w:r w:rsidRPr="00515994">
        <w:rPr>
          <w:rFonts w:ascii="Arial" w:hAnsi="Arial" w:cs="Arial"/>
          <w:color w:val="000000"/>
          <w:lang w:val="en-US"/>
        </w:rPr>
        <w:t>How do you judge the access of foreign companies to public procurement?</w:t>
      </w:r>
    </w:p>
    <w:p w:rsidR="001169C4" w:rsidRPr="00515994" w:rsidRDefault="001169C4" w:rsidP="001169C4">
      <w:pPr>
        <w:pStyle w:val="Listenabsatz"/>
        <w:rPr>
          <w:rFonts w:ascii="Arial" w:hAnsi="Arial" w:cs="Arial"/>
          <w:color w:val="000000"/>
          <w:lang w:val="en-US"/>
        </w:rPr>
      </w:pPr>
    </w:p>
    <w:p w:rsidR="001169C4" w:rsidRPr="00515994" w:rsidRDefault="001169C4" w:rsidP="001169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Which kind of problems do you face </w:t>
      </w:r>
      <w:r w:rsidRPr="00515994">
        <w:rPr>
          <w:rFonts w:ascii="Arial" w:hAnsi="Arial" w:cs="Arial"/>
          <w:color w:val="000000"/>
          <w:lang w:val="en-US"/>
        </w:rPr>
        <w:t>as regards intellectual property?</w:t>
      </w:r>
    </w:p>
    <w:p w:rsidR="001169C4" w:rsidRPr="0015366E" w:rsidRDefault="001169C4" w:rsidP="001169C4">
      <w:pPr>
        <w:pStyle w:val="Listenabsatz"/>
        <w:rPr>
          <w:rFonts w:ascii="Arial" w:hAnsi="Arial" w:cs="Arial"/>
          <w:lang w:val="en-US"/>
        </w:rPr>
      </w:pPr>
    </w:p>
    <w:p w:rsidR="00CA1F95" w:rsidRDefault="001169C4" w:rsidP="001169C4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15366E">
        <w:rPr>
          <w:rFonts w:ascii="Arial" w:hAnsi="Arial" w:cs="Arial"/>
          <w:lang w:val="en-US"/>
        </w:rPr>
        <w:t>What issues do you face as regards Mercosur countries' transparency and regulatory practices in the development and adoption of trade-related rules and regulations?</w:t>
      </w:r>
    </w:p>
    <w:p w:rsidR="00655375" w:rsidRDefault="00655375" w:rsidP="00655375">
      <w:pPr>
        <w:pStyle w:val="Listenabsatz"/>
        <w:rPr>
          <w:rFonts w:ascii="Arial" w:hAnsi="Arial" w:cs="Arial"/>
          <w:lang w:val="en-US"/>
        </w:rPr>
      </w:pPr>
    </w:p>
    <w:p w:rsidR="00655375" w:rsidRDefault="00655375" w:rsidP="00655375">
      <w:pPr>
        <w:pStyle w:val="Listenabsatz"/>
        <w:rPr>
          <w:rFonts w:ascii="Arial" w:hAnsi="Arial" w:cs="Arial"/>
          <w:lang w:val="en-US"/>
        </w:rPr>
      </w:pPr>
    </w:p>
    <w:p w:rsidR="00655375" w:rsidRPr="00655375" w:rsidRDefault="00655375" w:rsidP="00655375">
      <w:pPr>
        <w:pStyle w:val="Listenabsatz"/>
        <w:rPr>
          <w:rFonts w:ascii="Arial" w:hAnsi="Arial" w:cs="Arial"/>
          <w:lang w:val="en-US"/>
        </w:rPr>
      </w:pPr>
    </w:p>
    <w:p w:rsidR="00655375" w:rsidRPr="0015366E" w:rsidRDefault="00655375" w:rsidP="00655375">
      <w:pPr>
        <w:ind w:left="360"/>
        <w:rPr>
          <w:rFonts w:ascii="Arial" w:hAnsi="Arial" w:cs="Arial"/>
          <w:lang w:val="en-US"/>
        </w:rPr>
      </w:pPr>
      <w:r w:rsidRPr="0015366E">
        <w:rPr>
          <w:rFonts w:ascii="Arial" w:hAnsi="Arial" w:cs="Arial"/>
          <w:lang w:val="en-US"/>
        </w:rPr>
        <w:t>If you want to give a more detailed account on your business interest in the EU-Mercosur trade negations, you can fill out the European Commission’s extensive questionnaire:</w:t>
      </w:r>
    </w:p>
    <w:p w:rsidR="00655375" w:rsidRPr="0015366E" w:rsidRDefault="000506E0" w:rsidP="00655375">
      <w:pPr>
        <w:ind w:left="360"/>
        <w:rPr>
          <w:rFonts w:ascii="Arial" w:hAnsi="Arial" w:cs="Arial"/>
          <w:lang w:val="en-US"/>
        </w:rPr>
      </w:pPr>
      <w:hyperlink r:id="rId6" w:history="1">
        <w:r w:rsidR="00655375" w:rsidRPr="0015366E">
          <w:rPr>
            <w:rStyle w:val="Hyperlink"/>
            <w:rFonts w:ascii="Arial" w:hAnsi="Arial" w:cs="Arial"/>
            <w:lang w:val="en-US"/>
          </w:rPr>
          <w:t>http://trade.ec.europa.eu/consultations/index.cfm?consul_id=213&amp;cookies=disabled</w:t>
        </w:r>
      </w:hyperlink>
    </w:p>
    <w:p w:rsidR="00655375" w:rsidRPr="00655375" w:rsidRDefault="00655375" w:rsidP="00655375">
      <w:pPr>
        <w:rPr>
          <w:rFonts w:ascii="Arial" w:hAnsi="Arial" w:cs="Arial"/>
          <w:lang w:val="en-US"/>
        </w:rPr>
      </w:pPr>
    </w:p>
    <w:sectPr w:rsidR="00655375" w:rsidRPr="006553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14CA"/>
    <w:multiLevelType w:val="hybridMultilevel"/>
    <w:tmpl w:val="DBE697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96464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F2"/>
    <w:rsid w:val="000506E0"/>
    <w:rsid w:val="001169C4"/>
    <w:rsid w:val="00376873"/>
    <w:rsid w:val="00655375"/>
    <w:rsid w:val="00C172F2"/>
    <w:rsid w:val="00C362C3"/>
    <w:rsid w:val="00E76424"/>
    <w:rsid w:val="00F2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9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69C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553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5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655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9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69C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553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5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655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de.ec.europa.eu/consultations/index.cfm?consul_id=213&amp;cookies=disabl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Pfalz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Kober, Klemens</dc:creator>
  <cp:lastModifiedBy>Frank Panizza</cp:lastModifiedBy>
  <cp:revision>2</cp:revision>
  <dcterms:created xsi:type="dcterms:W3CDTF">2016-09-22T06:26:00Z</dcterms:created>
  <dcterms:modified xsi:type="dcterms:W3CDTF">2016-09-22T06:26:00Z</dcterms:modified>
</cp:coreProperties>
</file>